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250" w:type="dxa"/>
              <w:start w:w="250" w:type="dxa"/>
              <w:bottom w:w="250" w:type="dxa"/>
              <w:end w:w="250" w:type="dxa"/>
            </w:tcMar>
            <w:tcBorders>
              <w:top w:sz="12" w:val="single" w:color="245EA8"/>
              <w:left w:sz="12" w:val="single" w:color="245EA8"/>
              <w:bottom w:sz="12" w:val="single" w:color="245EA8"/>
              <w:right w:sz="12" w:val="single" w:color="245EA8"/>
            </w:tcBorders>
          </w:tcPr>
          <w:p>
            <w:pPr>
              <w:jc w:val="center"/>
            </w:pPr>
            <w:r>
              <w:rPr>
                <w:b/>
                <w:color w:val="245EA8"/>
                <w:sz w:val="22"/>
              </w:rPr>
              <w:t>MATERIAL EDUKACYJNY</w:t>
            </w:r>
          </w:p>
          <w:p>
            <w:pPr>
              <w:jc w:val="center"/>
            </w:pPr>
            <w:r>
              <w:rPr>
                <w:b/>
                <w:color w:val="245EA8"/>
                <w:sz w:val="48"/>
              </w:rPr>
              <w:t>Mój przyjaciel internet i cyfrowa higiena</w:t>
            </w:r>
          </w:p>
          <w:p>
            <w:pPr>
              <w:jc w:val="center"/>
            </w:pPr>
            <w:r>
              <w:rPr>
                <w:sz w:val="25"/>
              </w:rPr>
              <w:t>Szybka ściąga: dokładnie co mówić, gdy jesteś „zielona” w temacie</w:t>
            </w:r>
          </w:p>
          <w:p>
            <w:pPr>
              <w:jc w:val="center"/>
            </w:pPr>
            <w:r>
              <w:rPr>
                <w:b/>
                <w:color w:val="2E7D32"/>
                <w:sz w:val="30"/>
              </w:rPr>
              <w:t>00_SZYBKA ŚCIĄGA DLA PROWADZĄCEJ</w:t>
            </w:r>
          </w:p>
        </w:tc>
      </w:tr>
    </w:tbl>
    <w:p/>
    <w:p>
      <w:pPr>
        <w:jc w:val="center"/>
      </w:pPr>
      <w:r>
        <w:rPr>
          <w:color w:val="505050"/>
          <w:sz w:val="21"/>
        </w:rPr>
        <w:t>Kurs 8-godzinny dla dzieci 7-9 lat | gotowe wypowiedzi, pytania, reakcje i materiały do druku</w:t>
      </w:r>
    </w:p>
    <w:p>
      <w:r>
        <w:br w:type="page"/>
      </w:r>
    </w:p>
    <w:p>
      <w:pPr>
        <w:pStyle w:val="Heading1"/>
      </w:pPr>
      <w:r>
        <w:t>Najważniejsza zasada prowadzącej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Nie musisz być ekspertką techniczną</w:t>
            </w:r>
            <w:r>
              <w:br/>
              <w:t>Twoim zadaniem nie jest znać każdą aplikację i każdy trend. Twoim zadaniem jest nauczyć dzieci prostych odruchów: STOP, nie podaję danych, robię przerwę, pytam zaufanego dorosłego.</w:t>
            </w:r>
          </w:p>
        </w:tc>
      </w:tr>
    </w:tbl>
    <w:p/>
    <w:p>
      <w:pPr>
        <w:pStyle w:val="Heading1"/>
      </w:pPr>
      <w:r>
        <w:t>Pierwsze 2 minuty zajęć - przeczytaj dosłownie</w:t>
      </w:r>
    </w:p>
    <w:p>
      <w:pPr>
        <w:pStyle w:val="ListBullet"/>
      </w:pPr>
      <w:r>
        <w:t>„Dzień dobry! Nazywam się .................................... i będę dziś waszą przewodniczką po świecie internetu.”</w:t>
      </w:r>
    </w:p>
    <w:p>
      <w:pPr>
        <w:pStyle w:val="ListBullet"/>
      </w:pPr>
      <w:r>
        <w:t>„Nie jestem tu po to, żeby mówić: internet jest zły. Jestem tu po to, żeby pokazać, jak używać internetu mądrze, spokojnie i bezpiecznie.”</w:t>
      </w:r>
    </w:p>
    <w:p>
      <w:pPr>
        <w:pStyle w:val="ListBullet"/>
      </w:pPr>
      <w:r>
        <w:t>„Na tych zajęciach nie podajemy prawdziwych haseł, adresów, numerów telefonu, nazw szkół ani prywatnych rodzinnych historii.”</w:t>
      </w:r>
    </w:p>
    <w:p>
      <w:pPr>
        <w:pStyle w:val="ListBullet"/>
      </w:pPr>
      <w:r>
        <w:t>„Jeśli coś jest dla was niejasne albo nieprzyjemne, możecie pokazać znak STOP. To bardzo ważny znak bezpieczeństwa.”</w:t>
      </w:r>
    </w:p>
    <w:p>
      <w:pPr>
        <w:pStyle w:val="ListBullet"/>
      </w:pPr>
      <w:r>
        <w:t>„Każdy dom ma trochę inne zasady. Nie oceniamy rodzin. Uczymy się pomysłów, które można zabrać do rozmowy z dorosłymi.”</w:t>
      </w:r>
    </w:p>
    <w:p>
      <w:pPr>
        <w:pStyle w:val="Heading1"/>
      </w:pPr>
      <w:r>
        <w:t>6 zdań, które będą wracały przez cały kurs</w:t>
      </w:r>
    </w:p>
    <w:p>
      <w:pPr>
        <w:pStyle w:val="ListBullet"/>
      </w:pPr>
      <w:r>
        <w:t>„Ekran pomaga, ale nie rządzi moim dniem.”</w:t>
      </w:r>
    </w:p>
    <w:p>
      <w:pPr>
        <w:pStyle w:val="ListBullet"/>
      </w:pPr>
      <w:r>
        <w:t>„Moje dane są moje.”</w:t>
      </w:r>
    </w:p>
    <w:p>
      <w:pPr>
        <w:pStyle w:val="ListBullet"/>
      </w:pPr>
      <w:r>
        <w:t>„Hasło jest jak klucz - nie pożyczam go i nie pokazuję.”</w:t>
      </w:r>
    </w:p>
    <w:p>
      <w:pPr>
        <w:pStyle w:val="ListBullet"/>
      </w:pPr>
      <w:r>
        <w:t>„Obcy w internecie nadal jest obcym.”</w:t>
      </w:r>
    </w:p>
    <w:p>
      <w:pPr>
        <w:pStyle w:val="ListBullet"/>
      </w:pPr>
      <w:r>
        <w:t>„Gdy coś mnie niepokoi: STOP, odkładam, odchodzę, mówię dorosłemu.”</w:t>
      </w:r>
    </w:p>
    <w:p>
      <w:pPr>
        <w:pStyle w:val="ListBullet"/>
      </w:pPr>
      <w:r>
        <w:t>„Nie muszę wiedzieć wszystkiego. Mam wiedzieć, kiedy poprosić o pomoc.”</w:t>
      </w:r>
    </w:p>
    <w:p>
      <w:pPr>
        <w:pStyle w:val="Heading1"/>
      </w:pPr>
      <w:r>
        <w:t>Co mówić, gdy dzieje się coś trudnego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Gotowa odpowiedź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ujawnia coś niepokojącego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„Dziękuję, że mi to mówisz. To ważne. Nie będziemy omawiać szczegółów przy grupie. Porozmawiam z Tobą po zajęciach, żeby zadbać o pomoc.”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pyta o drastyczne treści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„Nie będziemy opisywać takich rzeczy na grupie. Najważniejsza zasada brzmi: jeśli coś straszy, zawstydza albo nie jest dla dzieci - przerywam i mówię dorosłemu.”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chce podać prywatne dane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„Stop, chronimy Twoją prywatność. Nie mówimy tu adresów, haseł, nazw szkół ani numerów telefonu.”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Dzieci zaczynają się śmiać z kogoś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„Zatrzymuję zabawę. Na tych zajęciach nie śmiejemy się z osoby. Możemy śmiać się z pomysłu, ale bez ranienia.”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Ktoś mówi: „mój rodzic robi inaczej”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„Każda rodzina ma swoje zasady. My ćwiczymy język rozmowy i bezpieczne nawyki, które można zaproponować w domu.”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Nie znasz odpowiedzi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„To dobre pytanie. Nie będę udawać, że wiem wszystko. Sprawdzę to w wiarygodnym źródle albo zapytamy specjalistę.”</w:t>
            </w:r>
          </w:p>
        </w:tc>
      </w:tr>
    </w:tbl>
    <w:p/>
    <w:p>
      <w:pPr>
        <w:pStyle w:val="Heading1"/>
      </w:pPr>
      <w:r>
        <w:t>Miniściąga godzina po godzinie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Godzina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Najważniejsze zdanie do powiedzenia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Odruch, który ćwiczysz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„Internet jest narzędziem. Narzędzie pomaga, gdy używamy go mądrze.”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Pytam dorosłego, gdy czegoś nie rozumiem.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„Ekran to jeden kawałek pizzy dnia, nie cała pizza.”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Ekran ma granice.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„Nuda to pusta kartka dla wyobraźni.”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Szukam pomysłu offline.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„Zasada jest jak kask - chroni, nie karze.”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Umawiamy proste zasady.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„Emocje mówią, ale ja wybieram, co zrobią moje ręce i słowa.”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STOP - oddech - słowa - przerwa.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„Hasło jest jak klucz do cyfrowego domu.”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Nie podaję hasła i danych.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„Jeśli coś mnie straszy lub zawstydza, nie zostaję z tym sam.”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Odłóż - odejdź - powiedz dorosłemu.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„Cybermaster umie się zatrzymać, pomyśleć i poprosić o pomoc.”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Powtórka i kodeks.</w:t>
            </w:r>
          </w:p>
        </w:tc>
      </w:tr>
    </w:tbl>
    <w:p/>
    <w:p>
      <w:pPr>
        <w:pStyle w:val="Heading1"/>
      </w:pPr>
      <w:r>
        <w:t>Źródła i materiały uzupełniające</w:t>
      </w:r>
    </w:p>
    <w:p>
      <w:r>
        <w:t>Materiały przygotowano na bazie agendy kursu oraz publicznych zasobów edukacyjnych i pomocowych. Przed zajęciami warto sprawdzić linki, bo zasoby online mogą zmieniać adresy.</w:t>
      </w:r>
    </w:p>
    <w:p>
      <w:pPr>
        <w:pStyle w:val="ListBullet"/>
      </w:pPr>
      <w:r>
        <w:rPr>
          <w:b/>
        </w:rPr>
        <w:t xml:space="preserve">Agenda kursu dostarczona przez zamawiającego: </w:t>
      </w:r>
      <w:r>
        <w:t>Kurs 1: Mój przyjaciel internet i cyfrowa higiena, wiek 7-9 lat.</w:t>
      </w:r>
    </w:p>
    <w:p>
      <w:pPr>
        <w:pStyle w:val="ListBullet"/>
      </w:pPr>
      <w:r>
        <w:rPr>
          <w:b/>
        </w:rPr>
        <w:t xml:space="preserve">NASK / Cyberprofilaktyka - Cybermaster: </w:t>
      </w:r>
      <w:r>
        <w:t>https://cyberprofilaktyka.pl/baza-wiedzy/gry/kalambury-o-cyberbrzpieczenstwie-cybermaster.html</w:t>
      </w:r>
    </w:p>
    <w:p>
      <w:pPr>
        <w:pStyle w:val="ListBullet"/>
      </w:pPr>
      <w:r>
        <w:rPr>
          <w:b/>
        </w:rPr>
        <w:t xml:space="preserve">Safer Internet - Gra Cybermaster: </w:t>
      </w:r>
      <w:r>
        <w:t>https://www.saferinternet.pl/menu/materialy-edukacyjne/gra-cybermaster.html</w:t>
      </w:r>
    </w:p>
    <w:p>
      <w:pPr>
        <w:pStyle w:val="ListBullet"/>
      </w:pPr>
      <w:r>
        <w:rPr>
          <w:b/>
        </w:rPr>
        <w:t xml:space="preserve">Ministerstwo Cyfryzacji - Małe dzieci i ekrany: </w:t>
      </w:r>
      <w:r>
        <w:t>https://www.gov.pl/web/cyfryzacja/male-dzieci-i-ekrany</w:t>
      </w:r>
    </w:p>
    <w:p>
      <w:pPr>
        <w:pStyle w:val="ListBullet"/>
      </w:pPr>
      <w:r>
        <w:rPr>
          <w:b/>
        </w:rPr>
        <w:t xml:space="preserve">Dyżurnet.pl - zgłaszanie nielegalnych treści: </w:t>
      </w:r>
      <w:r>
        <w:t>https://dyzurnet.pl/zglos-nielegalne-tresci</w:t>
      </w:r>
    </w:p>
    <w:p>
      <w:pPr>
        <w:pStyle w:val="ListBullet"/>
      </w:pPr>
      <w:r>
        <w:rPr>
          <w:b/>
        </w:rPr>
        <w:t xml:space="preserve">Telefon Zaufania dla Dzieci i Młodzieży 116 111: </w:t>
      </w:r>
      <w:r>
        <w:t>https://116111.pl/</w:t>
      </w:r>
    </w:p>
    <w:sectPr w:rsidR="00FC693F" w:rsidRPr="0006063C" w:rsidSect="00034616">
      <w:footerReference w:type="default" r:id="rId9"/>
      <w:pgSz w:w="12240" w:h="15840"/>
      <w:pgMar w:top="765" w:right="822" w:bottom="76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Mój przyjaciel internet i cyfrowa higiena | wersja skryptowa dla prowadzącej | 7-9 lat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E7D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33A6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45EA8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b w:val="0"/>
      <w:color w:val="666666"/>
      <w:sz w:val="16"/>
    </w:rPr>
  </w:style>
  <w:style w:type="paragraph" w:customStyle="1" w:styleId="Scriptline">
    <w:name w:val="Script line"/>
    <w:rPr>
      <w:rFonts w:ascii="Arial" w:hAnsi="Arial" w:eastAsia="Arial"/>
      <w:b w:val="0"/>
      <w:color w:val="000000"/>
      <w:sz w:val="20"/>
    </w:rPr>
  </w:style>
  <w:style w:type="paragraph" w:customStyle="1" w:styleId="KidHeading">
    <w:name w:val="Kid Heading"/>
    <w:rPr>
      <w:rFonts w:ascii="Arial" w:hAnsi="Arial" w:eastAsia="Arial"/>
      <w:b/>
      <w:color w:val="B33A6A"/>
      <w:sz w:val="30"/>
    </w:rPr>
  </w:style>
  <w:style w:type="paragraph" w:customStyle="1" w:styleId="Donot">
    <w:name w:val="Do not"/>
    <w:rPr>
      <w:rFonts w:ascii="Arial" w:hAnsi="Arial" w:eastAsia="Arial"/>
      <w:b w:val="0"/>
      <w:color w:val="8A1C1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